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7E65">
      <w:pPr>
        <w:spacing w:before="71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采购需求调查表</w:t>
      </w:r>
    </w:p>
    <w:p w14:paraId="6152F5FB">
      <w:pPr>
        <w:spacing w:line="470" w:lineRule="auto"/>
        <w:rPr>
          <w:rFonts w:ascii="Arial"/>
          <w:sz w:val="21"/>
        </w:rPr>
      </w:pPr>
    </w:p>
    <w:p w14:paraId="686CD397">
      <w:pPr>
        <w:spacing w:before="94" w:line="219" w:lineRule="auto"/>
        <w:rPr>
          <w:rFonts w:hint="default" w:ascii="宋体" w:hAnsi="宋体" w:eastAsia="宋体" w:cs="宋体"/>
          <w:sz w:val="29"/>
          <w:szCs w:val="29"/>
          <w:lang w:val="en-US" w:eastAsia="zh-CN"/>
        </w:rPr>
      </w:pPr>
      <w:r>
        <w:rPr>
          <w:rFonts w:ascii="宋体" w:hAnsi="宋体" w:eastAsia="宋体" w:cs="宋体"/>
          <w:spacing w:val="-7"/>
          <w:sz w:val="29"/>
          <w:szCs w:val="29"/>
        </w:rPr>
        <w:t>项目名称：</w:t>
      </w:r>
      <w:r>
        <w:rPr>
          <w:rFonts w:hint="eastAsia" w:eastAsia="仿宋"/>
          <w:sz w:val="32"/>
          <w:szCs w:val="32"/>
          <w:lang w:val="en-US" w:eastAsia="zh-CN"/>
        </w:rPr>
        <w:t>水处理系统</w:t>
      </w:r>
    </w:p>
    <w:p w14:paraId="2C443A80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37837A02">
      <w:pPr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一、接受调研的市场主体基本情况：</w:t>
      </w:r>
    </w:p>
    <w:tbl>
      <w:tblPr>
        <w:tblStyle w:val="8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442"/>
        <w:gridCol w:w="1349"/>
        <w:gridCol w:w="539"/>
        <w:gridCol w:w="5"/>
        <w:gridCol w:w="944"/>
        <w:gridCol w:w="363"/>
        <w:gridCol w:w="5"/>
        <w:gridCol w:w="703"/>
        <w:gridCol w:w="1117"/>
        <w:gridCol w:w="1184"/>
      </w:tblGrid>
      <w:tr w14:paraId="00F2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36E9">
            <w:pPr>
              <w:widowControl w:val="0"/>
              <w:ind w:left="0" w:leftChars="0" w:firstLine="0" w:firstLineChars="0"/>
              <w:jc w:val="center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供应商名称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DECE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3189">
            <w:pPr>
              <w:widowControl w:val="0"/>
              <w:jc w:val="center"/>
              <w:rPr>
                <w:rFonts w:hint="default" w:cs="Times New Roman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性质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E427">
            <w:pPr>
              <w:widowControl w:val="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微型企业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小型企业</w:t>
            </w:r>
          </w:p>
          <w:p w14:paraId="46C11FB2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中型企业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大型企业</w:t>
            </w:r>
          </w:p>
        </w:tc>
      </w:tr>
      <w:tr w14:paraId="3844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EBFD">
            <w:pPr>
              <w:widowControl w:val="0"/>
              <w:ind w:left="0" w:leftChars="0"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销售人及联系电话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9665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D6B7">
            <w:pPr>
              <w:widowControl w:val="0"/>
              <w:ind w:left="0" w:leftChars="0" w:firstLine="0" w:firstLineChars="0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E-MAIL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EEB9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13D0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0D02">
            <w:pPr>
              <w:widowControl w:val="0"/>
              <w:ind w:left="0" w:leftChars="0" w:firstLine="0" w:firstLineChars="0"/>
              <w:jc w:val="center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供应商地址</w:t>
            </w:r>
          </w:p>
        </w:tc>
        <w:tc>
          <w:tcPr>
            <w:tcW w:w="7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F93C">
            <w:pPr>
              <w:widowControl w:val="0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4"/>
                <w:lang w:val="en-US"/>
              </w:rPr>
            </w:pPr>
          </w:p>
        </w:tc>
      </w:tr>
      <w:tr w14:paraId="2E09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35556">
            <w:pPr>
              <w:widowControl w:val="0"/>
              <w:ind w:left="0" w:leftChars="0"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</w:p>
          <w:p w14:paraId="6E49D146">
            <w:pPr>
              <w:widowControl w:val="0"/>
              <w:ind w:left="0" w:leftChars="0" w:firstLine="0" w:firstLineChars="0"/>
              <w:jc w:val="center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提供服务供应商在广东省内医院用户名单（三甲医院优先）</w:t>
            </w:r>
          </w:p>
          <w:p w14:paraId="1CBFF325">
            <w:pPr>
              <w:widowControl w:val="0"/>
              <w:ind w:left="0" w:leftChars="0"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FC4B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医院名称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5C51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项目名称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6F9A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合同签订日期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3CF6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合同金额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775F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维保年限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0ACC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是否政府采购项目</w:t>
            </w:r>
          </w:p>
        </w:tc>
      </w:tr>
      <w:tr w14:paraId="69B3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30479">
            <w:pPr>
              <w:widowControl w:val="0"/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01C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D9C5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DF45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6DCC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69FC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64BA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727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AE4">
            <w:pPr>
              <w:widowControl w:val="0"/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43E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95DA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886B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DA66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E7B5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C0E4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488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5E51">
            <w:pPr>
              <w:widowControl w:val="0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lang w:val="en-US" w:eastAsia="zh-CN"/>
              </w:rPr>
              <w:t>供应商报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价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含税价格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包括了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响应项目需求的</w:t>
            </w:r>
            <w:r>
              <w:rPr>
                <w:rFonts w:hint="eastAsia" w:ascii="宋体" w:hAnsi="宋体" w:cs="宋体"/>
                <w:sz w:val="24"/>
              </w:rPr>
              <w:t>一切费用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)</w:t>
            </w:r>
          </w:p>
        </w:tc>
        <w:tc>
          <w:tcPr>
            <w:tcW w:w="7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57A">
            <w:pPr>
              <w:pStyle w:val="15"/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人民币小写：¥***,***.00元；大写：人民币***元整</w:t>
            </w:r>
          </w:p>
          <w:p w14:paraId="6525A8FC">
            <w:pPr>
              <w:widowControl w:val="0"/>
              <w:jc w:val="both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14:paraId="2048C629">
      <w:pPr>
        <w:pStyle w:val="1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755584A7">
      <w:pPr>
        <w:pStyle w:val="10"/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二、采购需求响应情况：</w:t>
      </w:r>
    </w:p>
    <w:tbl>
      <w:tblPr>
        <w:tblStyle w:val="11"/>
        <w:tblW w:w="976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2"/>
        <w:gridCol w:w="1526"/>
        <w:gridCol w:w="2728"/>
      </w:tblGrid>
      <w:tr w14:paraId="2AAE9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512" w:type="dxa"/>
            <w:vMerge w:val="restart"/>
            <w:tcBorders>
              <w:bottom w:val="nil"/>
            </w:tcBorders>
            <w:vAlign w:val="center"/>
          </w:tcPr>
          <w:p w14:paraId="43A2CFDB">
            <w:pPr>
              <w:pStyle w:val="12"/>
              <w:spacing w:before="68" w:line="219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-5"/>
                <w:sz w:val="36"/>
                <w:szCs w:val="36"/>
              </w:rPr>
              <w:t>采购需求</w:t>
            </w:r>
          </w:p>
        </w:tc>
        <w:tc>
          <w:tcPr>
            <w:tcW w:w="4254" w:type="dxa"/>
            <w:gridSpan w:val="2"/>
            <w:vAlign w:val="top"/>
          </w:tcPr>
          <w:p w14:paraId="300CA417">
            <w:pPr>
              <w:pStyle w:val="12"/>
              <w:spacing w:before="40" w:line="219" w:lineRule="auto"/>
              <w:jc w:val="center"/>
            </w:pPr>
            <w:r>
              <w:rPr>
                <w:b/>
                <w:bCs/>
                <w:spacing w:val="-2"/>
              </w:rPr>
              <w:t>响应情况(如有偏离，须说明是正偏离或负偏离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，</w:t>
            </w:r>
            <w:r>
              <w:rPr>
                <w:b/>
                <w:bCs/>
                <w:spacing w:val="-2"/>
              </w:rPr>
              <w:t>并列</w:t>
            </w:r>
            <w:r>
              <w:rPr>
                <w:b/>
                <w:bCs/>
                <w:spacing w:val="-1"/>
              </w:rPr>
              <w:t>明具体偏离情况，如无偏离，填写满足)</w:t>
            </w:r>
          </w:p>
        </w:tc>
      </w:tr>
      <w:tr w14:paraId="3106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512" w:type="dxa"/>
            <w:vMerge w:val="continue"/>
            <w:tcBorders>
              <w:top w:val="nil"/>
            </w:tcBorders>
            <w:vAlign w:val="center"/>
          </w:tcPr>
          <w:p w14:paraId="70C638C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7CE0C2FF">
            <w:pPr>
              <w:pStyle w:val="12"/>
              <w:spacing w:before="207" w:line="220" w:lineRule="auto"/>
              <w:jc w:val="center"/>
            </w:pPr>
            <w:r>
              <w:rPr>
                <w:b/>
                <w:bCs/>
                <w:spacing w:val="-2"/>
              </w:rPr>
              <w:t>响应情况</w:t>
            </w:r>
          </w:p>
        </w:tc>
        <w:tc>
          <w:tcPr>
            <w:tcW w:w="2728" w:type="dxa"/>
            <w:vAlign w:val="top"/>
          </w:tcPr>
          <w:p w14:paraId="1ECBA229">
            <w:pPr>
              <w:pStyle w:val="12"/>
              <w:spacing w:before="35" w:line="219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供应商响应参数</w:t>
            </w:r>
          </w:p>
          <w:p w14:paraId="7DE8A360">
            <w:pPr>
              <w:pStyle w:val="12"/>
              <w:spacing w:before="35" w:line="219" w:lineRule="auto"/>
              <w:jc w:val="center"/>
            </w:pPr>
            <w:r>
              <w:rPr>
                <w:b/>
                <w:bCs/>
                <w:spacing w:val="1"/>
              </w:rPr>
              <w:t>(请填写产品实际参数)</w:t>
            </w:r>
          </w:p>
        </w:tc>
      </w:tr>
      <w:tr w14:paraId="72F99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12" w:type="dxa"/>
            <w:vAlign w:val="center"/>
          </w:tcPr>
          <w:p w14:paraId="672FB1A4">
            <w:pPr>
              <w:pStyle w:val="12"/>
              <w:spacing w:before="69" w:line="219" w:lineRule="auto"/>
              <w:ind w:left="82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功能用途：</w:t>
            </w:r>
            <w:r>
              <w:rPr>
                <w:rFonts w:ascii="Times New Roman" w:eastAsia="宋体"/>
                <w:color w:val="000000"/>
                <w:kern w:val="0"/>
                <w:sz w:val="24"/>
              </w:rPr>
              <w:t>全套系统为血液透析专用水处理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去除自来水中的杂质、化学污染物、微生物和内毒素，以制备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符合</w:t>
            </w:r>
            <w:r>
              <w:rPr>
                <w:rFonts w:ascii="Times New Roman" w:eastAsia="宋体"/>
                <w:color w:val="000000"/>
                <w:kern w:val="0"/>
                <w:sz w:val="24"/>
                <w:highlight w:val="none"/>
              </w:rPr>
              <w:t>YY-0572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highlight w:val="none"/>
                <w:lang w:val="en-US" w:eastAsia="zh-CN"/>
              </w:rPr>
              <w:t>标准的，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高纯度透析用水，防止患者发生热原反应和长期并发症。</w:t>
            </w:r>
          </w:p>
        </w:tc>
        <w:tc>
          <w:tcPr>
            <w:tcW w:w="1526" w:type="dxa"/>
            <w:vAlign w:val="center"/>
          </w:tcPr>
          <w:p w14:paraId="250EE57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28" w:type="dxa"/>
            <w:vAlign w:val="top"/>
          </w:tcPr>
          <w:p w14:paraId="485F4917">
            <w:pPr>
              <w:pStyle w:val="12"/>
              <w:spacing w:before="244" w:line="220" w:lineRule="auto"/>
            </w:pPr>
          </w:p>
        </w:tc>
      </w:tr>
      <w:tr w14:paraId="4673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5512" w:type="dxa"/>
            <w:vAlign w:val="center"/>
          </w:tcPr>
          <w:p w14:paraId="3CD63959">
            <w:pPr>
              <w:pStyle w:val="12"/>
              <w:spacing w:before="69" w:line="219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ascii="Times New Roman" w:eastAsia="宋体"/>
                <w:color w:val="000000"/>
                <w:kern w:val="0"/>
                <w:sz w:val="24"/>
              </w:rPr>
              <w:t>主机采用反渗系统，全闭路循环供水，多路循环设计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eastAsia="宋体"/>
                <w:color w:val="000000"/>
                <w:kern w:val="0"/>
                <w:sz w:val="24"/>
              </w:rPr>
              <w:t>全系统内不包含储水装置</w:t>
            </w:r>
            <w:r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eastAsia="宋体"/>
                <w:kern w:val="0"/>
                <w:sz w:val="24"/>
              </w:rPr>
              <w:t>全自动电脑控制反渗机进水、排水及产水量、电导度。</w:t>
            </w:r>
          </w:p>
        </w:tc>
        <w:tc>
          <w:tcPr>
            <w:tcW w:w="1526" w:type="dxa"/>
            <w:vAlign w:val="center"/>
          </w:tcPr>
          <w:p w14:paraId="222A256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  <w:p w14:paraId="511DDFC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负偏离</w:t>
            </w:r>
          </w:p>
          <w:p w14:paraId="47410010">
            <w:pPr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正偏离</w:t>
            </w:r>
          </w:p>
        </w:tc>
        <w:tc>
          <w:tcPr>
            <w:tcW w:w="2728" w:type="dxa"/>
            <w:vAlign w:val="top"/>
          </w:tcPr>
          <w:p w14:paraId="6CDC154B">
            <w:pPr>
              <w:pStyle w:val="12"/>
              <w:spacing w:before="68" w:line="219" w:lineRule="auto"/>
              <w:ind w:left="127"/>
            </w:pPr>
          </w:p>
        </w:tc>
      </w:tr>
      <w:tr w14:paraId="2CBE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512" w:type="dxa"/>
            <w:vAlign w:val="center"/>
          </w:tcPr>
          <w:p w14:paraId="1EB2EFB5">
            <w:pPr>
              <w:pStyle w:val="12"/>
              <w:spacing w:before="69" w:line="219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Arial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ascii="Times New Roman" w:eastAsia="宋体"/>
                <w:kern w:val="0"/>
                <w:sz w:val="24"/>
              </w:rPr>
              <w:t>水温≥5°C时</w:t>
            </w:r>
            <w:r>
              <w:rPr>
                <w:rFonts w:ascii="Times New Roman" w:eastAsia="宋体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Times New Roman" w:eastAsia="宋体"/>
                <w:kern w:val="0"/>
                <w:sz w:val="24"/>
                <w:highlight w:val="none"/>
                <w:lang w:val="en-US" w:eastAsia="zh-CN"/>
              </w:rPr>
              <w:t>机器产水量≥800L/h</w:t>
            </w:r>
            <w:r>
              <w:rPr>
                <w:rFonts w:ascii="Times New Roman" w:eastAsia="宋体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Times New Roman" w:eastAsia="宋体"/>
                <w:kern w:val="0"/>
                <w:sz w:val="24"/>
                <w:lang w:val="en-US" w:eastAsia="zh-CN"/>
              </w:rPr>
              <w:t>满足≥20台血透机的使用，</w:t>
            </w:r>
            <w:r>
              <w:rPr>
                <w:rFonts w:ascii="Times New Roman" w:eastAsia="宋体"/>
                <w:kern w:val="0"/>
                <w:sz w:val="24"/>
              </w:rPr>
              <w:t>当只有少量透析机工作时，可自动回收多余的部分，做到根据用水量实时调节产水量和回水量。</w:t>
            </w:r>
          </w:p>
        </w:tc>
        <w:tc>
          <w:tcPr>
            <w:tcW w:w="1526" w:type="dxa"/>
            <w:vAlign w:val="center"/>
          </w:tcPr>
          <w:p w14:paraId="37A408F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  <w:p w14:paraId="76CBA07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负偏离</w:t>
            </w:r>
          </w:p>
          <w:p w14:paraId="134C173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正偏离</w:t>
            </w:r>
          </w:p>
        </w:tc>
        <w:tc>
          <w:tcPr>
            <w:tcW w:w="2728" w:type="dxa"/>
            <w:vAlign w:val="top"/>
          </w:tcPr>
          <w:p w14:paraId="1F2FFA3A">
            <w:pPr>
              <w:pStyle w:val="12"/>
              <w:spacing w:before="69" w:line="219" w:lineRule="auto"/>
              <w:ind w:left="197"/>
            </w:pPr>
          </w:p>
        </w:tc>
      </w:tr>
      <w:tr w14:paraId="1FC19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512" w:type="dxa"/>
            <w:vAlign w:val="center"/>
          </w:tcPr>
          <w:p w14:paraId="3FB1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ascii="Times New Roman" w:eastAsia="宋体"/>
                <w:kern w:val="0"/>
                <w:sz w:val="24"/>
              </w:rPr>
              <w:t>反渗膜具有夜间自动冲洗功能，</w:t>
            </w:r>
            <w:r>
              <w:rPr>
                <w:rFonts w:hint="eastAsia" w:ascii="Times New Roman" w:eastAsia="宋体"/>
                <w:kern w:val="0"/>
                <w:sz w:val="24"/>
                <w:lang w:val="en-US" w:eastAsia="zh-CN"/>
              </w:rPr>
              <w:t>定时自动冲洗</w:t>
            </w:r>
            <w:r>
              <w:rPr>
                <w:rFonts w:ascii="Times New Roman" w:eastAsia="宋体"/>
                <w:kern w:val="0"/>
                <w:sz w:val="24"/>
              </w:rPr>
              <w:t>，</w:t>
            </w:r>
            <w:r>
              <w:rPr>
                <w:rFonts w:hint="eastAsia" w:ascii="Times New Roman" w:eastAsia="宋体"/>
                <w:kern w:val="0"/>
                <w:sz w:val="24"/>
                <w:lang w:val="en-US" w:eastAsia="zh-CN"/>
              </w:rPr>
              <w:t>夜间冲洗时，检测到水路中水量减少的话会自动停止冲洗并报价，</w:t>
            </w:r>
            <w:r>
              <w:rPr>
                <w:rFonts w:ascii="Times New Roman" w:eastAsia="宋体"/>
                <w:kern w:val="0"/>
                <w:sz w:val="24"/>
              </w:rPr>
              <w:t>而且待机时间和冲洗时间可根据实际使用情况自定义。</w:t>
            </w:r>
          </w:p>
        </w:tc>
        <w:tc>
          <w:tcPr>
            <w:tcW w:w="1526" w:type="dxa"/>
            <w:vAlign w:val="center"/>
          </w:tcPr>
          <w:p w14:paraId="19BEC44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  <w:p w14:paraId="54871A2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负偏离</w:t>
            </w:r>
          </w:p>
          <w:p w14:paraId="168665C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正偏离</w:t>
            </w:r>
          </w:p>
        </w:tc>
        <w:tc>
          <w:tcPr>
            <w:tcW w:w="2728" w:type="dxa"/>
            <w:vAlign w:val="top"/>
          </w:tcPr>
          <w:p w14:paraId="4587EAE7">
            <w:pPr>
              <w:pStyle w:val="12"/>
              <w:spacing w:before="69" w:line="219" w:lineRule="auto"/>
              <w:ind w:left="197"/>
            </w:pPr>
          </w:p>
        </w:tc>
      </w:tr>
      <w:tr w14:paraId="3B9F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512" w:type="dxa"/>
            <w:vAlign w:val="center"/>
          </w:tcPr>
          <w:p w14:paraId="6C088707">
            <w:pPr>
              <w:pStyle w:val="12"/>
              <w:spacing w:before="69" w:line="219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除消耗品外，整机质保≥5年</w:t>
            </w:r>
          </w:p>
        </w:tc>
        <w:tc>
          <w:tcPr>
            <w:tcW w:w="1526" w:type="dxa"/>
            <w:vAlign w:val="center"/>
          </w:tcPr>
          <w:p w14:paraId="73AE516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  <w:p w14:paraId="495D512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负偏离</w:t>
            </w:r>
          </w:p>
          <w:p w14:paraId="62D5F7F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正偏离</w:t>
            </w:r>
          </w:p>
        </w:tc>
        <w:tc>
          <w:tcPr>
            <w:tcW w:w="2728" w:type="dxa"/>
            <w:vAlign w:val="top"/>
          </w:tcPr>
          <w:p w14:paraId="69B4744B">
            <w:pPr>
              <w:pStyle w:val="12"/>
              <w:spacing w:before="69" w:line="219" w:lineRule="auto"/>
              <w:ind w:left="197"/>
            </w:pPr>
          </w:p>
        </w:tc>
      </w:tr>
      <w:tr w14:paraId="08C3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512" w:type="dxa"/>
            <w:vAlign w:val="center"/>
          </w:tcPr>
          <w:p w14:paraId="2372E5A3">
            <w:pPr>
              <w:pStyle w:val="12"/>
              <w:spacing w:before="69" w:line="219" w:lineRule="auto"/>
              <w:ind w:left="82"/>
              <w:jc w:val="both"/>
              <w:rPr>
                <w:rFonts w:hint="default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供应商可在此列表最后添加除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前面的需求以外自身品牌突出的优势或有特点的参数</w:t>
            </w:r>
          </w:p>
        </w:tc>
        <w:tc>
          <w:tcPr>
            <w:tcW w:w="1526" w:type="dxa"/>
            <w:vAlign w:val="center"/>
          </w:tcPr>
          <w:p w14:paraId="4E7270D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28" w:type="dxa"/>
            <w:vAlign w:val="top"/>
          </w:tcPr>
          <w:p w14:paraId="67D5ECB9">
            <w:pPr>
              <w:pStyle w:val="12"/>
              <w:spacing w:before="69" w:line="219" w:lineRule="auto"/>
              <w:ind w:left="197"/>
            </w:pPr>
          </w:p>
        </w:tc>
      </w:tr>
    </w:tbl>
    <w:p w14:paraId="500EAE07">
      <w:pPr>
        <w:pStyle w:val="3"/>
        <w:spacing w:line="252" w:lineRule="auto"/>
      </w:pPr>
    </w:p>
    <w:p w14:paraId="606980C0">
      <w:pPr>
        <w:pStyle w:val="3"/>
        <w:spacing w:line="252" w:lineRule="auto"/>
      </w:pPr>
    </w:p>
    <w:p w14:paraId="510E5D0B">
      <w:pPr>
        <w:spacing w:before="319" w:line="219" w:lineRule="auto"/>
        <w:ind w:left="546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3"/>
          <w:sz w:val="32"/>
          <w:szCs w:val="32"/>
          <w:lang w:val="en-US" w:eastAsia="zh-CN"/>
        </w:rPr>
        <w:t>填写</w:t>
      </w:r>
      <w:r>
        <w:rPr>
          <w:rFonts w:ascii="宋体" w:hAnsi="宋体" w:eastAsia="宋体" w:cs="宋体"/>
          <w:spacing w:val="13"/>
          <w:sz w:val="32"/>
          <w:szCs w:val="32"/>
        </w:rPr>
        <w:t>日期：</w:t>
      </w:r>
      <w:r>
        <w:rPr>
          <w:rFonts w:hint="eastAsia" w:ascii="宋体" w:hAnsi="宋体" w:eastAsia="宋体" w:cs="宋体"/>
          <w:spacing w:val="13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>年</w:t>
      </w:r>
      <w:r>
        <w:rPr>
          <w:rFonts w:hint="eastAsia" w:ascii="宋体" w:hAnsi="宋体" w:eastAsia="宋体" w:cs="宋体"/>
          <w:spacing w:val="1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>月</w:t>
      </w:r>
      <w:r>
        <w:rPr>
          <w:rFonts w:hint="eastAsia" w:ascii="宋体" w:hAnsi="宋体" w:eastAsia="宋体" w:cs="宋体"/>
          <w:spacing w:val="1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>日</w:t>
      </w:r>
    </w:p>
    <w:p w14:paraId="2BAC115F"/>
    <w:sectPr>
      <w:headerReference r:id="rId5" w:type="default"/>
      <w:pgSz w:w="11910" w:h="1685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679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784FFE"/>
    <w:rsid w:val="11EA1373"/>
    <w:rsid w:val="14486920"/>
    <w:rsid w:val="15B82B87"/>
    <w:rsid w:val="15DB004C"/>
    <w:rsid w:val="1B265221"/>
    <w:rsid w:val="24274F00"/>
    <w:rsid w:val="24821A4E"/>
    <w:rsid w:val="25C42A83"/>
    <w:rsid w:val="25EB0CC9"/>
    <w:rsid w:val="2EF20488"/>
    <w:rsid w:val="35656C57"/>
    <w:rsid w:val="3DB30329"/>
    <w:rsid w:val="3EE3069F"/>
    <w:rsid w:val="572851C6"/>
    <w:rsid w:val="581346E7"/>
    <w:rsid w:val="599F3559"/>
    <w:rsid w:val="5B7A6EE7"/>
    <w:rsid w:val="5BED31C6"/>
    <w:rsid w:val="60E86BCA"/>
    <w:rsid w:val="62B23C37"/>
    <w:rsid w:val="69E441FA"/>
    <w:rsid w:val="6CAC7171"/>
    <w:rsid w:val="6CF95187"/>
    <w:rsid w:val="74940C50"/>
    <w:rsid w:val="767015D1"/>
    <w:rsid w:val="779F6CE1"/>
    <w:rsid w:val="7C461570"/>
    <w:rsid w:val="7EF51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left="7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after="120"/>
      <w:ind w:left="420" w:leftChars="20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3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738</Words>
  <Characters>886</Characters>
  <TotalTime>31</TotalTime>
  <ScaleCrop>false</ScaleCrop>
  <LinksUpToDate>false</LinksUpToDate>
  <CharactersWithSpaces>916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2025-12-26T06:38:00Z</dcterms:created>
  <dc:creator>wyl</dc:creator>
  <cp:lastModifiedBy>机智的小罗罗</cp:lastModifiedBy>
  <cp:lastPrinted>2026-02-05T00:38:00Z</cp:lastPrinted>
  <dcterms:modified xsi:type="dcterms:W3CDTF">2026-04-19T10:52:51Z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2025-12-26T06:38:50Z</vt:filetime>
  </property>
  <property fmtid="{D5CDD505-2E9C-101B-9397-08002B2CF9AE}" pid="4" name="UsrData">
    <vt:lpwstr>694dbcf693e4d8001f24df45wl</vt:lpwstr>
  </property>
  <property fmtid="{D5CDD505-2E9C-101B-9397-08002B2CF9AE}" pid="5" name="KSOTemplateDocerSaveRecord">
    <vt:lpwstr>eyJoZGlkIjoiY2RkNzhlMTg4NTQyZGZlY2I3ODk0NjRiZjJkNjliNDkiLCJ1c2VySWQiOiI0Mjg0NjIzNzAifQ==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9805FC6AD8BA4FF1813E3051EDAAB36E_13</vt:lpwstr>
  </property>
</Properties>
</file>